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4C" w:rsidRDefault="008F464C" w:rsidP="008F464C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6C6C6C"/>
          <w:sz w:val="27"/>
          <w:szCs w:val="27"/>
          <w:lang w:eastAsia="ru-RU"/>
        </w:rPr>
      </w:pPr>
      <w:r w:rsidRPr="008F464C">
        <w:rPr>
          <w:rFonts w:ascii="Helvetica" w:eastAsia="Times New Roman" w:hAnsi="Helvetica" w:cs="Helvetica"/>
          <w:b/>
          <w:bCs/>
          <w:color w:val="6C6C6C"/>
          <w:sz w:val="27"/>
          <w:szCs w:val="27"/>
          <w:lang w:eastAsia="ru-RU"/>
        </w:rPr>
        <w:t xml:space="preserve">Опасные грузы </w:t>
      </w:r>
    </w:p>
    <w:p w:rsidR="008F464C" w:rsidRPr="008F464C" w:rsidRDefault="008F464C" w:rsidP="008F464C">
      <w:pPr>
        <w:shd w:val="clear" w:color="auto" w:fill="FFFFFF"/>
        <w:spacing w:before="300" w:after="15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6C6C6C"/>
          <w:sz w:val="27"/>
          <w:szCs w:val="27"/>
          <w:lang w:eastAsia="ru-RU"/>
        </w:rPr>
      </w:pPr>
      <w:r w:rsidRPr="008F464C">
        <w:rPr>
          <w:rFonts w:ascii="Helvetica" w:eastAsia="Times New Roman" w:hAnsi="Helvetica" w:cs="Helvetica"/>
          <w:b/>
          <w:bCs/>
          <w:color w:val="6C6C6C"/>
          <w:sz w:val="27"/>
          <w:szCs w:val="27"/>
          <w:lang w:eastAsia="ru-RU"/>
        </w:rPr>
        <w:t>Безопасность начинается дома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ЗАПРЕЩАЕТСЯ ПЕРЕВОЗИТЬ С СОБОЙ ЛЮБЫЕ ОПАСНЫЕ ПРЕДМЕТЫ, ТАКИЕ КАК: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взрывоопасные вещества*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сжатые газы (вкл. аэрозоли)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легковоспламеняющиеся жидкости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вещества с высоким содержанием кислорода, напр. перекиси и отбеливающие порошки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токсичные вещества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радиоактивные вещества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разъедающие вещества</w:t>
      </w:r>
    </w:p>
    <w:p w:rsidR="008F464C" w:rsidRPr="008F464C" w:rsidRDefault="008F464C" w:rsidP="008F464C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магнитные материалы, вредные вещества или зловонные вещества и раздражающие вещества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Следует знать, что перевозка небольших персональных моторизированных средств передвижения, приводимых в действие литиевыми батареями, таких как: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hover-board (гироскутер),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mini-segway (мотокат, сегвей, самокат),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air-wheel (одноколесный гироскутер),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solo-wheel (моноколесо),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balance-wheel</w:t>
      </w:r>
      <w:bookmarkStart w:id="0" w:name="_GoBack"/>
      <w:bookmarkEnd w:id="0"/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 xml:space="preserve"> (компактный электрический моноцикл)</w:t>
      </w:r>
    </w:p>
    <w:p w:rsidR="008F464C" w:rsidRPr="008F464C" w:rsidRDefault="008F464C" w:rsidP="008F464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color w:val="6C6C6C"/>
          <w:sz w:val="24"/>
          <w:szCs w:val="24"/>
          <w:bdr w:val="none" w:sz="0" w:space="0" w:color="auto" w:frame="1"/>
          <w:lang w:eastAsia="ru-RU"/>
        </w:rPr>
        <w:t>и другие подобные перечисленным выше предметам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полностью ЗАПРЕЩЕНЫ к перевозке пассажирами во ВСЕХ ТИПАХ БАГАЖА на бортах воздушных судов АО «Эйр Астана».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* Спортивное снаряжение может перевозиться только с разрешения авиалиний.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Запрещается перевозить огнестрельное оружие, модели оружия, кинжалы, раскладные ножи и другие агрессивно выглядящие предметы на себе или в ручной клади.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Также запрещено использовать электрические устройства, которые могут повлиять на радио- и навигационное оборудование самолета, например, радио и мобильные телефоны.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 этом разделе содержится важная информация относительно перевозки запасных литиевых батареек для портативных электронных устройств – часов, калькуляторов, фото камер, сотовых телефонов, ноутбуков, видеокамер, медицинских устройств и т.д., которые перевозятся пассажирами для личного использования.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bdr w:val="none" w:sz="0" w:space="0" w:color="auto" w:frame="1"/>
          <w:lang w:eastAsia="ru-RU"/>
        </w:rPr>
        <w:tab/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1. Запасные литиевые батарейки (включая литий-ионные и литий- металлические батарейки), разрешается перевозить только в ручной клади.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2. Каждая встроенная или запасная батарейка должны соответствовать требованиям: для литий металлических батарей содержание лития не более 2 г; или для ионно-литиевых батарей, удельная мощность не более 100 ватт/час.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ПРИМЕЧАНИЕ: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Предварительное разрешение от АО «Эйр Астана» НЕ требуется для перевозки портативных электронных устройств, содержащих встроенные литиевые батареи и запасных батарей, параметры которых указаны в этом пункте.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bdr w:val="none" w:sz="0" w:space="0" w:color="auto" w:frame="1"/>
          <w:lang w:eastAsia="ru-RU"/>
        </w:rPr>
        <w:tab/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3. Запасные литиевые батарейки в ручной клади должны быть индивидуально защищены для предотвращения короткого замыкания. Батареи должны находиться либо в оригинальной упаковке производителя, либо их клеммы должны быть заизолированы, например, заклеены изоляционной лентой.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ПРИМЕЧАНИЕ: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 xml:space="preserve"> Для перевозки портативных электронных устройств (включая медицинские электронные устройства), содержащих встроенные литиевые батареи и запасных батарей с параметрами - для литий-металлических батарей: содержание лития от 2 до 8 г; для литий-ионных: удельная мощность от 100 до 160 </w:t>
      </w:r>
      <w:proofErr w:type="spellStart"/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Wh</w:t>
      </w:r>
      <w:proofErr w:type="spellEnd"/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, требуется предварительное разрешение АО «Эйр Астана». Портативные электронные устройства, содержащие встроенные литиевые батареи и запасные батареи с параметрами, превышающими пределы, указанные в этом абзаце, ЗАПРЕЩЕНЫ К ПЕРЕВОЗКЕ В БАГАЖЕ ПАССАЖИРОВ. При перевозке в зарегистрированном багаже портативных электронных устройств, внутри которых находятся батарейки, НЕОБХОДИМО принять меры, предотвращающие их самопроизвольное приведение в действие.</w:t>
      </w:r>
    </w:p>
    <w:p w:rsidR="008F464C" w:rsidRPr="008F464C" w:rsidRDefault="008F464C" w:rsidP="008F464C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 данным билетом Вы готовы отправиться в аэропорт. Перед тем, как Вы закроете свой чемодан, проверьте в последний раз его содержимое и удостоверьтесь, что Вам и другим людям ничего не угрожает. Ваша безопасность начинается... при упаковке Вашего багажа.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* Просим ознакомиться с </w:t>
      </w:r>
      <w:hyperlink r:id="rId5" w:tgtFrame="_blank" w:history="1">
        <w:r w:rsidRPr="008F464C">
          <w:rPr>
            <w:rFonts w:ascii="Helvetica" w:eastAsia="Times New Roman" w:hAnsi="Helvetica" w:cs="Helvetica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памяткой из постановления</w:t>
        </w:r>
      </w:hyperlink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Правительства РК о "Перечне опасных веществ и предметов, запрещенных пассажирам к перевозкам на гражданских воздушных судах".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Электронные сигареты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Электронные сигареты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(включая электронные сигареты, трубки, другие испарители для личного пользования), содержащие батареи, которые должны быть защищены для предотвращения случайной активации. Электронные сигареты должны перевозиться только в ручной клади.</w:t>
      </w:r>
    </w:p>
    <w:p w:rsidR="008F464C" w:rsidRPr="008F464C" w:rsidRDefault="008F464C" w:rsidP="008F464C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ПРИМЕЧАНИЕ: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В соответствии с требованием Министерства Гражданской Авиации </w:t>
      </w: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Республики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</w:t>
      </w:r>
      <w:r w:rsidRPr="008F464C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Индия</w:t>
      </w:r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все формы ввоза и вывоза электронных сигарет и электронных систем доставки никотина (ENDS) полностью запрещены к перевозке пассажирами во всех видах багажа, включая ручную кладь, а также к перевозке в качестве груза. Такие устройства будут конфискованы в случае обнаружения </w:t>
      </w:r>
      <w:hyperlink r:id="rId6" w:history="1">
        <w:r w:rsidRPr="008F464C">
          <w:rPr>
            <w:rFonts w:ascii="Helvetica" w:eastAsia="Times New Roman" w:hAnsi="Helvetica" w:cs="Helvetica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документ</w:t>
        </w:r>
      </w:hyperlink>
      <w:r w:rsidRPr="008F464C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.</w:t>
      </w:r>
    </w:p>
    <w:p w:rsidR="00411A3D" w:rsidRDefault="008F464C"/>
    <w:sectPr w:rsidR="0041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897"/>
    <w:multiLevelType w:val="multilevel"/>
    <w:tmpl w:val="866A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717459"/>
    <w:multiLevelType w:val="multilevel"/>
    <w:tmpl w:val="8EBC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B"/>
    <w:rsid w:val="0056117B"/>
    <w:rsid w:val="008F464C"/>
    <w:rsid w:val="00A35701"/>
    <w:rsid w:val="00E0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6754C-952D-49AB-849F-C9F6280C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46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6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64C"/>
    <w:rPr>
      <w:color w:val="0000FF"/>
      <w:u w:val="single"/>
    </w:rPr>
  </w:style>
  <w:style w:type="character" w:styleId="a5">
    <w:name w:val="Strong"/>
    <w:basedOn w:val="a0"/>
    <w:uiPriority w:val="22"/>
    <w:qFormat/>
    <w:rsid w:val="008F4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rastana.com/Portals/2/Information/BaggageInfo/Addendum%20to%20AvSec%20Order%20No%205%20of%202005.pdf?ver=2020-02-13-100113-177" TargetMode="External"/><Relationship Id="rId5" Type="http://schemas.openxmlformats.org/officeDocument/2006/relationships/hyperlink" Target="https://airastana.com/Portals/2/Information/BaggageInfo/Pamiatka-ot-Aviacionnoi-transportnoi-prokuratury-Almat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Nazarenko</dc:creator>
  <cp:keywords/>
  <dc:description/>
  <cp:lastModifiedBy>Tatyana Nazarenko</cp:lastModifiedBy>
  <cp:revision>2</cp:revision>
  <dcterms:created xsi:type="dcterms:W3CDTF">2020-06-18T07:54:00Z</dcterms:created>
  <dcterms:modified xsi:type="dcterms:W3CDTF">2020-06-18T07:56:00Z</dcterms:modified>
</cp:coreProperties>
</file>