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
        <w:gridCol w:w="4110"/>
        <w:gridCol w:w="2410"/>
        <w:gridCol w:w="2522"/>
      </w:tblGrid>
      <w:tr w:rsidR="000A1336" w:rsidRPr="006E7B22" w14:paraId="2A380DDA" w14:textId="77777777" w:rsidTr="00B54251">
        <w:tc>
          <w:tcPr>
            <w:tcW w:w="7054" w:type="dxa"/>
            <w:gridSpan w:val="3"/>
            <w:tcBorders>
              <w:bottom w:val="single" w:sz="4" w:space="0" w:color="auto"/>
            </w:tcBorders>
            <w:shd w:val="clear" w:color="auto" w:fill="auto"/>
            <w:vAlign w:val="center"/>
          </w:tcPr>
          <w:p w14:paraId="2294F4F8" w14:textId="540D700D" w:rsidR="000A1336" w:rsidRPr="006E7B22" w:rsidRDefault="000A1336" w:rsidP="00B54251">
            <w:pPr>
              <w:spacing w:after="0"/>
              <w:rPr>
                <w:rFonts w:ascii="Calibri" w:eastAsia="Calibri" w:hAnsi="Calibri" w:cs="Times New Roman"/>
                <w:b/>
                <w:sz w:val="18"/>
                <w:szCs w:val="18"/>
              </w:rPr>
            </w:pPr>
            <w:r w:rsidRPr="006E7B22">
              <w:rPr>
                <w:rFonts w:ascii="Calibri" w:eastAsia="Calibri" w:hAnsi="Calibri" w:cs="Times New Roman"/>
                <w:b/>
                <w:sz w:val="18"/>
                <w:szCs w:val="18"/>
              </w:rPr>
              <w:t>Appendix No. 2 on Tourist Services Sales Agent Agreement</w:t>
            </w:r>
          </w:p>
          <w:p w14:paraId="47869726" w14:textId="2290754C" w:rsidR="000A1336" w:rsidRPr="006E7B22" w:rsidRDefault="000A1336" w:rsidP="00B54251">
            <w:pPr>
              <w:rPr>
                <w:rFonts w:ascii="Calibri" w:eastAsia="Calibri" w:hAnsi="Calibri" w:cs="Times New Roman"/>
                <w:b/>
                <w:sz w:val="18"/>
                <w:szCs w:val="18"/>
                <w:lang w:val="ru-RU"/>
              </w:rPr>
            </w:pPr>
            <w:r w:rsidRPr="006E7B22">
              <w:rPr>
                <w:rFonts w:ascii="Calibri" w:eastAsia="Calibri" w:hAnsi="Calibri" w:cs="Times New Roman"/>
                <w:b/>
                <w:sz w:val="18"/>
                <w:szCs w:val="18"/>
                <w:lang w:val="ru-RU"/>
              </w:rPr>
              <w:t xml:space="preserve">Приложение №2 к соглашению об агенте по продаже туристических услуг </w:t>
            </w:r>
          </w:p>
        </w:tc>
        <w:tc>
          <w:tcPr>
            <w:tcW w:w="2522" w:type="dxa"/>
            <w:tcBorders>
              <w:bottom w:val="single" w:sz="4" w:space="0" w:color="auto"/>
            </w:tcBorders>
            <w:shd w:val="clear" w:color="auto" w:fill="auto"/>
            <w:vAlign w:val="center"/>
          </w:tcPr>
          <w:p w14:paraId="11616A78" w14:textId="77777777" w:rsidR="000A1336" w:rsidRPr="006E7B22" w:rsidRDefault="000A1336" w:rsidP="00B54251">
            <w:pPr>
              <w:spacing w:after="0" w:line="240" w:lineRule="auto"/>
              <w:rPr>
                <w:rFonts w:ascii="Calibri" w:eastAsia="Calibri" w:hAnsi="Calibri" w:cs="Times New Roman"/>
                <w:b/>
                <w:sz w:val="18"/>
                <w:szCs w:val="18"/>
                <w:lang w:val="ru-RU"/>
              </w:rPr>
            </w:pPr>
          </w:p>
          <w:p w14:paraId="613E3304" w14:textId="77777777" w:rsidR="000A1336" w:rsidRPr="006E7B22" w:rsidRDefault="000A1336" w:rsidP="00B54251">
            <w:pPr>
              <w:rPr>
                <w:rFonts w:ascii="Calibri" w:eastAsia="Calibri" w:hAnsi="Calibri" w:cs="Times New Roman"/>
                <w:b/>
                <w:sz w:val="18"/>
                <w:szCs w:val="18"/>
              </w:rPr>
            </w:pPr>
            <w:r w:rsidRPr="006E7B22">
              <w:rPr>
                <w:rFonts w:ascii="Calibri" w:eastAsia="Calibri" w:hAnsi="Calibri" w:cs="Times New Roman"/>
                <w:b/>
                <w:sz w:val="18"/>
                <w:szCs w:val="18"/>
              </w:rPr>
              <w:t>N _________________</w:t>
            </w:r>
          </w:p>
        </w:tc>
      </w:tr>
      <w:tr w:rsidR="000A1336" w:rsidRPr="006E7B22" w14:paraId="5697664F" w14:textId="77777777" w:rsidTr="00B54251">
        <w:tc>
          <w:tcPr>
            <w:tcW w:w="7054" w:type="dxa"/>
            <w:gridSpan w:val="3"/>
            <w:tcBorders>
              <w:top w:val="single" w:sz="4" w:space="0" w:color="auto"/>
              <w:bottom w:val="single" w:sz="4" w:space="0" w:color="auto"/>
            </w:tcBorders>
            <w:shd w:val="clear" w:color="auto" w:fill="auto"/>
          </w:tcPr>
          <w:p w14:paraId="43781F2A" w14:textId="77777777" w:rsidR="000A1336" w:rsidRPr="006E7B22" w:rsidRDefault="000A1336" w:rsidP="00B54251">
            <w:pPr>
              <w:spacing w:after="0"/>
              <w:rPr>
                <w:rFonts w:ascii="Calibri" w:eastAsia="Calibri" w:hAnsi="Calibri" w:cs="Times New Roman"/>
                <w:sz w:val="18"/>
                <w:szCs w:val="18"/>
              </w:rPr>
            </w:pPr>
            <w:r w:rsidRPr="006E7B22">
              <w:rPr>
                <w:rFonts w:ascii="Calibri" w:eastAsia="Calibri" w:hAnsi="Calibri" w:cs="Times New Roman"/>
                <w:sz w:val="18"/>
                <w:szCs w:val="18"/>
              </w:rPr>
              <w:t>Present Appendix was executed on:</w:t>
            </w:r>
          </w:p>
          <w:p w14:paraId="72506639" w14:textId="77777777" w:rsidR="000A1336" w:rsidRPr="006E7B22" w:rsidRDefault="000A1336" w:rsidP="00B54251">
            <w:pPr>
              <w:spacing w:after="0"/>
              <w:rPr>
                <w:rFonts w:ascii="Calibri" w:eastAsia="Calibri" w:hAnsi="Calibri" w:cs="Times New Roman"/>
                <w:b/>
                <w:sz w:val="18"/>
                <w:szCs w:val="18"/>
                <w:lang w:val="ru-RU"/>
              </w:rPr>
            </w:pPr>
            <w:r w:rsidRPr="006E7B22">
              <w:rPr>
                <w:rFonts w:ascii="Calibri" w:eastAsia="Calibri" w:hAnsi="Calibri" w:cs="Times New Roman"/>
                <w:sz w:val="18"/>
                <w:szCs w:val="18"/>
                <w:lang w:val="ru-RU"/>
              </w:rPr>
              <w:t>Настоящее приложение было оформлено:</w:t>
            </w:r>
          </w:p>
        </w:tc>
        <w:tc>
          <w:tcPr>
            <w:tcW w:w="2522" w:type="dxa"/>
            <w:tcBorders>
              <w:top w:val="single" w:sz="4" w:space="0" w:color="auto"/>
              <w:bottom w:val="single" w:sz="4" w:space="0" w:color="auto"/>
            </w:tcBorders>
            <w:shd w:val="clear" w:color="auto" w:fill="auto"/>
            <w:vAlign w:val="center"/>
          </w:tcPr>
          <w:p w14:paraId="116E7BFD" w14:textId="77777777" w:rsidR="000A1336" w:rsidRPr="006E7B22" w:rsidRDefault="000A1336" w:rsidP="00B54251">
            <w:pPr>
              <w:spacing w:after="0" w:line="240" w:lineRule="auto"/>
              <w:rPr>
                <w:rFonts w:ascii="Calibri" w:eastAsia="Calibri" w:hAnsi="Calibri" w:cs="Times New Roman"/>
                <w:b/>
                <w:sz w:val="18"/>
                <w:szCs w:val="18"/>
                <w:lang w:val="ru-RU"/>
              </w:rPr>
            </w:pPr>
            <w:r w:rsidRPr="006E7B22">
              <w:rPr>
                <w:rFonts w:ascii="Calibri" w:eastAsia="Calibri" w:hAnsi="Calibri" w:cs="Times New Roman"/>
              </w:rPr>
              <w:t>___________</w:t>
            </w:r>
            <w:r>
              <w:rPr>
                <w:rFonts w:ascii="Calibri" w:eastAsia="Calibri" w:hAnsi="Calibri" w:cs="Times New Roman"/>
                <w:b/>
              </w:rPr>
              <w:t>201_</w:t>
            </w:r>
          </w:p>
        </w:tc>
      </w:tr>
      <w:tr w:rsidR="000A1336" w:rsidRPr="00732411" w14:paraId="498C77B1" w14:textId="77777777" w:rsidTr="00B54251">
        <w:tc>
          <w:tcPr>
            <w:tcW w:w="4644" w:type="dxa"/>
            <w:gridSpan w:val="2"/>
            <w:tcBorders>
              <w:top w:val="single" w:sz="4" w:space="0" w:color="auto"/>
              <w:bottom w:val="single" w:sz="4" w:space="0" w:color="auto"/>
            </w:tcBorders>
            <w:shd w:val="clear" w:color="auto" w:fill="auto"/>
          </w:tcPr>
          <w:p w14:paraId="093CD6E5" w14:textId="7756F765"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Pegas Georgia L.L.C</w:t>
            </w:r>
            <w:r w:rsidRPr="006E7B22">
              <w:rPr>
                <w:rFonts w:ascii="Calibri" w:eastAsia="Calibri" w:hAnsi="Calibri" w:cs="Times New Roman"/>
                <w:sz w:val="18"/>
                <w:szCs w:val="18"/>
              </w:rPr>
              <w:t xml:space="preserve">, presented by its Director Harun Turan, acting in accordance with the Georgian Legislation, hereinafter referred to as the GSA (General Sales Agent)on the one hand and </w:t>
            </w:r>
            <w:permStart w:id="371593473" w:edGrp="everyone"/>
            <w:r w:rsidR="00CC791B">
              <w:rPr>
                <w:rFonts w:ascii="Sylfaen" w:hAnsi="Sylfaen"/>
                <w:sz w:val="20"/>
                <w:szCs w:val="20"/>
              </w:rPr>
              <w:t>_________________________</w:t>
            </w:r>
            <w:permEnd w:id="371593473"/>
            <w:r w:rsidRPr="006E7B22">
              <w:rPr>
                <w:rFonts w:ascii="Calibri" w:eastAsia="Calibri" w:hAnsi="Calibri" w:cs="Times New Roman"/>
                <w:sz w:val="18"/>
                <w:szCs w:val="18"/>
              </w:rPr>
              <w:t xml:space="preserve">, presented by its Director </w:t>
            </w:r>
            <w:permStart w:id="239958541" w:edGrp="everyone"/>
            <w:r w:rsidR="00CC791B">
              <w:rPr>
                <w:rFonts w:ascii="Sylfaen" w:hAnsi="Sylfaen"/>
                <w:sz w:val="20"/>
                <w:szCs w:val="20"/>
              </w:rPr>
              <w:t>______________________</w:t>
            </w:r>
            <w:permEnd w:id="239958541"/>
            <w:r w:rsidRPr="006E7B22">
              <w:rPr>
                <w:rFonts w:ascii="Calibri" w:eastAsia="Calibri" w:hAnsi="Calibri" w:cs="Times New Roman"/>
                <w:sz w:val="18"/>
                <w:szCs w:val="18"/>
              </w:rPr>
              <w:t>, hereinafter referred to as the SA, on the other hand, collectively referred to as the PARTIES, have concluded this Appendix on the following:</w:t>
            </w:r>
          </w:p>
        </w:tc>
        <w:tc>
          <w:tcPr>
            <w:tcW w:w="4932" w:type="dxa"/>
            <w:gridSpan w:val="2"/>
            <w:tcBorders>
              <w:top w:val="single" w:sz="4" w:space="0" w:color="auto"/>
              <w:bottom w:val="single" w:sz="4" w:space="0" w:color="auto"/>
            </w:tcBorders>
            <w:shd w:val="clear" w:color="auto" w:fill="auto"/>
          </w:tcPr>
          <w:p w14:paraId="7E0CBBC5" w14:textId="7391F542" w:rsidR="000A1336" w:rsidRPr="006E7B22" w:rsidRDefault="000A1336" w:rsidP="00B54251">
            <w:pPr>
              <w:spacing w:after="0" w:line="240" w:lineRule="auto"/>
              <w:rPr>
                <w:rFonts w:ascii="Times New Roman" w:eastAsia="Times New Roman" w:hAnsi="Times New Roman" w:cs="Times New Roman"/>
                <w:snapToGrid w:val="0"/>
                <w:szCs w:val="24"/>
                <w:lang w:val="ru-RU" w:eastAsia="ru-RU"/>
              </w:rPr>
            </w:pPr>
            <w:r w:rsidRPr="006E7B22">
              <w:rPr>
                <w:rFonts w:ascii="Calibri" w:eastAsia="Times New Roman" w:hAnsi="Calibri" w:cs="Times New Roman"/>
                <w:b/>
                <w:snapToGrid w:val="0"/>
                <w:sz w:val="18"/>
                <w:szCs w:val="18"/>
                <w:lang w:val="ru-RU" w:eastAsia="ru-RU"/>
              </w:rPr>
              <w:t>ООО «Пегас Джорджия»</w:t>
            </w:r>
            <w:r w:rsidRPr="006E7B22">
              <w:rPr>
                <w:rFonts w:ascii="Calibri" w:eastAsia="Times New Roman" w:hAnsi="Calibri" w:cs="Times New Roman"/>
                <w:snapToGrid w:val="0"/>
                <w:sz w:val="18"/>
                <w:szCs w:val="18"/>
                <w:lang w:val="ru-RU" w:eastAsia="ru-RU"/>
              </w:rPr>
              <w:t xml:space="preserve">, представленное директором г-н Харуном Тураном, действующим согласно законодательству Грузии (далее «Генеральный Агент по Продажам»), с одной стороны и  </w:t>
            </w:r>
            <w:permStart w:id="1317554939" w:edGrp="everyone"/>
            <w:r w:rsidR="00CC791B" w:rsidRPr="00CC791B">
              <w:rPr>
                <w:rFonts w:ascii="Sylfaen" w:hAnsi="Sylfaen"/>
                <w:sz w:val="20"/>
                <w:szCs w:val="20"/>
                <w:lang w:val="ru-RU"/>
              </w:rPr>
              <w:t>_________________________</w:t>
            </w:r>
            <w:permEnd w:id="1317554939"/>
            <w:r w:rsidRPr="006E7B22">
              <w:rPr>
                <w:rFonts w:ascii="Calibri" w:eastAsia="Times New Roman" w:hAnsi="Calibri" w:cs="Times New Roman"/>
                <w:snapToGrid w:val="0"/>
                <w:sz w:val="18"/>
                <w:szCs w:val="18"/>
                <w:lang w:val="ru-RU" w:eastAsia="ru-RU"/>
              </w:rPr>
              <w:t xml:space="preserve">, представленное директором  </w:t>
            </w:r>
            <w:permStart w:id="1036455157" w:edGrp="everyone"/>
            <w:r w:rsidR="00CC791B">
              <w:rPr>
                <w:rFonts w:ascii="Sylfaen" w:hAnsi="Sylfaen"/>
                <w:sz w:val="20"/>
                <w:szCs w:val="20"/>
              </w:rPr>
              <w:t>______________________</w:t>
            </w:r>
            <w:r w:rsidR="00CC791B" w:rsidRPr="006E7B22">
              <w:rPr>
                <w:rFonts w:ascii="Calibri" w:eastAsia="Times New Roman" w:hAnsi="Calibri" w:cs="Times New Roman"/>
                <w:snapToGrid w:val="0"/>
                <w:sz w:val="18"/>
                <w:szCs w:val="18"/>
                <w:lang w:val="ru-RU" w:eastAsia="ru-RU"/>
              </w:rPr>
              <w:t xml:space="preserve"> </w:t>
            </w:r>
            <w:bookmarkStart w:id="0" w:name="_GoBack"/>
            <w:bookmarkEnd w:id="0"/>
            <w:permEnd w:id="1036455157"/>
            <w:r w:rsidRPr="006E7B22">
              <w:rPr>
                <w:rFonts w:ascii="Calibri" w:eastAsia="Times New Roman" w:hAnsi="Calibri" w:cs="Times New Roman"/>
                <w:snapToGrid w:val="0"/>
                <w:sz w:val="18"/>
                <w:szCs w:val="18"/>
                <w:lang w:val="ru-RU" w:eastAsia="ru-RU"/>
              </w:rPr>
              <w:t>(далее «Агент по Продажам»), с другой; совместно «стороны», оформили настоящее приложение о нижеследующем:</w:t>
            </w:r>
          </w:p>
        </w:tc>
      </w:tr>
      <w:tr w:rsidR="000A1336" w:rsidRPr="00732411" w14:paraId="58B17723" w14:textId="77777777" w:rsidTr="00B54251">
        <w:tc>
          <w:tcPr>
            <w:tcW w:w="4644" w:type="dxa"/>
            <w:gridSpan w:val="2"/>
            <w:tcBorders>
              <w:top w:val="single" w:sz="4" w:space="0" w:color="auto"/>
              <w:bottom w:val="single" w:sz="4" w:space="0" w:color="auto"/>
            </w:tcBorders>
            <w:shd w:val="clear" w:color="auto" w:fill="auto"/>
          </w:tcPr>
          <w:p w14:paraId="2CD89659"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 xml:space="preserve">The GSA and the SA agree to make following amendment to the Agreement executed between them on </w:t>
            </w:r>
            <w:r w:rsidRPr="006E7B22">
              <w:rPr>
                <w:rFonts w:ascii="Calibri" w:eastAsia="Calibri" w:hAnsi="Calibri" w:cs="Times New Roman"/>
              </w:rPr>
              <w:t>__</w:t>
            </w:r>
            <w:r>
              <w:rPr>
                <w:rFonts w:ascii="Calibri" w:eastAsia="Calibri" w:hAnsi="Calibri" w:cs="Times New Roman"/>
                <w:sz w:val="18"/>
                <w:szCs w:val="18"/>
              </w:rPr>
              <w:t xml:space="preserve"> day of ___201_</w:t>
            </w:r>
            <w:r w:rsidRPr="006E7B22">
              <w:rPr>
                <w:rFonts w:ascii="Calibri" w:eastAsia="Calibri" w:hAnsi="Calibri" w:cs="Times New Roman"/>
                <w:sz w:val="18"/>
                <w:szCs w:val="18"/>
              </w:rPr>
              <w:t xml:space="preserve"> № </w:t>
            </w:r>
            <w:r w:rsidRPr="006E7B22">
              <w:rPr>
                <w:rFonts w:ascii="Calibri" w:eastAsia="Calibri" w:hAnsi="Calibri" w:cs="Times New Roman"/>
                <w:b/>
                <w:sz w:val="18"/>
                <w:szCs w:val="18"/>
              </w:rPr>
              <w:t>_____________</w:t>
            </w:r>
          </w:p>
        </w:tc>
        <w:tc>
          <w:tcPr>
            <w:tcW w:w="4932" w:type="dxa"/>
            <w:gridSpan w:val="2"/>
            <w:tcBorders>
              <w:top w:val="single" w:sz="4" w:space="0" w:color="auto"/>
              <w:bottom w:val="single" w:sz="4" w:space="0" w:color="auto"/>
            </w:tcBorders>
            <w:shd w:val="clear" w:color="auto" w:fill="auto"/>
          </w:tcPr>
          <w:p w14:paraId="0C0C8E08"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 xml:space="preserve">Генеральный Агент по Продажам и Агент по Продажам соглашаются внести следующую поправку в соглашение, оформленного ими </w:t>
            </w:r>
            <w:r w:rsidRPr="006E7B22">
              <w:rPr>
                <w:rFonts w:ascii="Calibri" w:eastAsia="Calibri" w:hAnsi="Calibri" w:cs="Times New Roman"/>
                <w:lang w:val="ru-RU"/>
              </w:rPr>
              <w:t>_________</w:t>
            </w:r>
            <w:r w:rsidRPr="006E7B22">
              <w:rPr>
                <w:rFonts w:ascii="Calibri" w:eastAsia="Calibri" w:hAnsi="Calibri" w:cs="Times New Roman"/>
                <w:sz w:val="18"/>
                <w:szCs w:val="18"/>
                <w:lang w:val="ru-RU"/>
              </w:rPr>
              <w:t>201</w:t>
            </w:r>
            <w:r w:rsidRPr="00626DC8">
              <w:rPr>
                <w:rFonts w:ascii="Calibri" w:eastAsia="Calibri" w:hAnsi="Calibri" w:cs="Times New Roman"/>
                <w:sz w:val="18"/>
                <w:szCs w:val="18"/>
                <w:lang w:val="ru-RU"/>
              </w:rPr>
              <w:t>_</w:t>
            </w:r>
            <w:r w:rsidRPr="006E7B22">
              <w:rPr>
                <w:rFonts w:ascii="Calibri" w:eastAsia="Calibri" w:hAnsi="Calibri" w:cs="Times New Roman"/>
                <w:sz w:val="18"/>
                <w:szCs w:val="18"/>
                <w:lang w:val="ru-RU"/>
              </w:rPr>
              <w:t xml:space="preserve"> г. № </w:t>
            </w:r>
            <w:r w:rsidRPr="006E7B22">
              <w:rPr>
                <w:rFonts w:ascii="Calibri" w:eastAsia="Calibri" w:hAnsi="Calibri" w:cs="Times New Roman"/>
                <w:b/>
                <w:sz w:val="18"/>
                <w:szCs w:val="18"/>
                <w:lang w:val="ru-RU"/>
              </w:rPr>
              <w:t>___________</w:t>
            </w:r>
            <w:r w:rsidRPr="006E7B22">
              <w:rPr>
                <w:rFonts w:ascii="Calibri" w:eastAsia="Calibri" w:hAnsi="Calibri" w:cs="Times New Roman"/>
                <w:sz w:val="18"/>
                <w:szCs w:val="18"/>
                <w:lang w:val="ru-RU"/>
              </w:rPr>
              <w:t>, а именно:</w:t>
            </w:r>
          </w:p>
        </w:tc>
      </w:tr>
      <w:tr w:rsidR="000A1336" w:rsidRPr="00732411" w14:paraId="0F8B64E1" w14:textId="77777777" w:rsidTr="00B54251">
        <w:tc>
          <w:tcPr>
            <w:tcW w:w="534" w:type="dxa"/>
            <w:tcBorders>
              <w:top w:val="single" w:sz="4" w:space="0" w:color="auto"/>
              <w:bottom w:val="single" w:sz="4" w:space="0" w:color="auto"/>
            </w:tcBorders>
            <w:shd w:val="clear" w:color="auto" w:fill="auto"/>
          </w:tcPr>
          <w:p w14:paraId="2B345654"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11E09B7A"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 xml:space="preserve">In addition of cancelation terms and conditions described in Appendix 1, article  1, in case of the request cancellation or any changes made to the request for a UAE tour, on request of the GSA the SA shall pay the actually incurred expenses of the former in the amount of (The date of the exhibition will be updated on the site: </w:t>
            </w:r>
            <w:hyperlink r:id="rId9" w:history="1">
              <w:r w:rsidRPr="006E7B22">
                <w:rPr>
                  <w:rFonts w:ascii="Calibri" w:eastAsia="Calibri" w:hAnsi="Calibri" w:cs="Times New Roman"/>
                  <w:color w:val="0563C1" w:themeColor="hyperlink"/>
                  <w:sz w:val="18"/>
                  <w:szCs w:val="18"/>
                  <w:u w:val="single"/>
                </w:rPr>
                <w:t>www.pegast.ge</w:t>
              </w:r>
            </w:hyperlink>
            <w:r w:rsidRPr="006E7B22">
              <w:rPr>
                <w:rFonts w:ascii="Calibri" w:eastAsia="Calibri" w:hAnsi="Calibri" w:cs="Times New Roman"/>
                <w:sz w:val="18"/>
                <w:szCs w:val="18"/>
              </w:rPr>
              <w:t xml:space="preserve"> ) </w:t>
            </w:r>
          </w:p>
        </w:tc>
        <w:tc>
          <w:tcPr>
            <w:tcW w:w="4932" w:type="dxa"/>
            <w:gridSpan w:val="2"/>
            <w:tcBorders>
              <w:top w:val="single" w:sz="4" w:space="0" w:color="auto"/>
              <w:bottom w:val="single" w:sz="4" w:space="0" w:color="auto"/>
            </w:tcBorders>
            <w:shd w:val="clear" w:color="auto" w:fill="auto"/>
          </w:tcPr>
          <w:p w14:paraId="70B94B51"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 xml:space="preserve">помимо аннулирования условий, описанных в статье 1 приложения №1, в случае требования отмены или изменений в туре в Объединенные Арабские Эмираты, по требованию Генерального агента по продажам, Агент по Продажам выплатит Генеральному агенту по продажам фактически понесенные расходы в размере (Даты и сроки проведения выставок публикуются на сайте: </w:t>
            </w:r>
            <w:hyperlink r:id="rId10" w:history="1">
              <w:r w:rsidRPr="006E7B22">
                <w:rPr>
                  <w:rFonts w:ascii="Calibri" w:eastAsia="Calibri" w:hAnsi="Calibri" w:cs="Times New Roman"/>
                  <w:color w:val="0563C1" w:themeColor="hyperlink"/>
                  <w:sz w:val="18"/>
                  <w:szCs w:val="18"/>
                  <w:u w:val="single"/>
                </w:rPr>
                <w:t>www</w:t>
              </w:r>
              <w:r w:rsidRPr="006E7B22">
                <w:rPr>
                  <w:rFonts w:ascii="Calibri" w:eastAsia="Calibri" w:hAnsi="Calibri" w:cs="Times New Roman"/>
                  <w:color w:val="0563C1" w:themeColor="hyperlink"/>
                  <w:sz w:val="18"/>
                  <w:szCs w:val="18"/>
                  <w:u w:val="single"/>
                  <w:lang w:val="ru-RU"/>
                </w:rPr>
                <w:t>.</w:t>
              </w:r>
              <w:r w:rsidRPr="006E7B22">
                <w:rPr>
                  <w:rFonts w:ascii="Calibri" w:eastAsia="Calibri" w:hAnsi="Calibri" w:cs="Times New Roman"/>
                  <w:color w:val="0563C1" w:themeColor="hyperlink"/>
                  <w:sz w:val="18"/>
                  <w:szCs w:val="18"/>
                  <w:u w:val="single"/>
                </w:rPr>
                <w:t>pegast</w:t>
              </w:r>
              <w:r w:rsidRPr="006E7B22">
                <w:rPr>
                  <w:rFonts w:ascii="Calibri" w:eastAsia="Calibri" w:hAnsi="Calibri" w:cs="Times New Roman"/>
                  <w:color w:val="0563C1" w:themeColor="hyperlink"/>
                  <w:sz w:val="18"/>
                  <w:szCs w:val="18"/>
                  <w:u w:val="single"/>
                  <w:lang w:val="ru-RU"/>
                </w:rPr>
                <w:t>.</w:t>
              </w:r>
              <w:r w:rsidRPr="006E7B22">
                <w:rPr>
                  <w:rFonts w:ascii="Calibri" w:eastAsia="Calibri" w:hAnsi="Calibri" w:cs="Times New Roman"/>
                  <w:color w:val="0563C1" w:themeColor="hyperlink"/>
                  <w:sz w:val="18"/>
                  <w:szCs w:val="18"/>
                  <w:u w:val="single"/>
                </w:rPr>
                <w:t>ge</w:t>
              </w:r>
            </w:hyperlink>
            <w:r w:rsidRPr="006E7B22">
              <w:rPr>
                <w:rFonts w:ascii="Calibri" w:eastAsia="Calibri" w:hAnsi="Calibri" w:cs="Times New Roman"/>
                <w:sz w:val="18"/>
                <w:szCs w:val="18"/>
                <w:lang w:val="ru-RU"/>
              </w:rPr>
              <w:t xml:space="preserve">) </w:t>
            </w:r>
          </w:p>
        </w:tc>
      </w:tr>
      <w:tr w:rsidR="000A1336" w:rsidRPr="006E7B22" w14:paraId="6C942869" w14:textId="77777777" w:rsidTr="00B54251">
        <w:tc>
          <w:tcPr>
            <w:tcW w:w="534" w:type="dxa"/>
            <w:tcBorders>
              <w:top w:val="single" w:sz="4" w:space="0" w:color="auto"/>
              <w:bottom w:val="single" w:sz="4" w:space="0" w:color="auto"/>
            </w:tcBorders>
            <w:shd w:val="clear" w:color="auto" w:fill="auto"/>
          </w:tcPr>
          <w:p w14:paraId="71A9C85A"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197822E1"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EID AL-ADHA</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30DEC0B8"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ИД АЛЬ АДХА</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2D1DA86E" w14:textId="77777777" w:rsidTr="00B54251">
        <w:tc>
          <w:tcPr>
            <w:tcW w:w="534" w:type="dxa"/>
            <w:tcBorders>
              <w:top w:val="single" w:sz="4" w:space="0" w:color="auto"/>
              <w:bottom w:val="single" w:sz="4" w:space="0" w:color="auto"/>
            </w:tcBorders>
            <w:shd w:val="clear" w:color="auto" w:fill="auto"/>
          </w:tcPr>
          <w:p w14:paraId="0ADF2E9F"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2F0C4196"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GITEX TECHNOLOGY WEEK</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043CD756"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GITEX TECHNOLOGY</w:t>
            </w:r>
            <w:r w:rsidRPr="006E7B22">
              <w:rPr>
                <w:rFonts w:ascii="Calibri" w:eastAsia="Calibri" w:hAnsi="Calibri" w:cs="Times New Roman"/>
                <w:sz w:val="18"/>
                <w:szCs w:val="18"/>
                <w:lang w:val="ru-RU"/>
              </w:rPr>
              <w:t xml:space="preserve"> </w:t>
            </w:r>
            <w:r w:rsidRPr="006E7B22">
              <w:rPr>
                <w:rFonts w:ascii="Calibri" w:eastAsia="Calibri" w:hAnsi="Calibri" w:cs="Times New Roman"/>
                <w:b/>
                <w:sz w:val="18"/>
                <w:szCs w:val="18"/>
                <w:lang w:val="ru-RU"/>
              </w:rPr>
              <w:t>WEEK</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052B1C2A" w14:textId="77777777" w:rsidTr="00B54251">
        <w:tc>
          <w:tcPr>
            <w:tcW w:w="534" w:type="dxa"/>
            <w:tcBorders>
              <w:top w:val="single" w:sz="4" w:space="0" w:color="auto"/>
              <w:bottom w:val="single" w:sz="4" w:space="0" w:color="auto"/>
            </w:tcBorders>
            <w:shd w:val="clear" w:color="auto" w:fill="auto"/>
          </w:tcPr>
          <w:p w14:paraId="65D3418D"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7486A3E6"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GULFOOD EXPO</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6C4A9B0C"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ВЫСТАВКА КУЛИНАРНЫХ ИЗДЕЛИЙ СТРАН ПЕРСИДСКОГО ЗАЛИВА</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22EFCA6B" w14:textId="77777777" w:rsidTr="00B54251">
        <w:tc>
          <w:tcPr>
            <w:tcW w:w="534" w:type="dxa"/>
            <w:tcBorders>
              <w:top w:val="single" w:sz="4" w:space="0" w:color="auto"/>
              <w:bottom w:val="single" w:sz="4" w:space="0" w:color="auto"/>
            </w:tcBorders>
            <w:shd w:val="clear" w:color="auto" w:fill="auto"/>
          </w:tcPr>
          <w:p w14:paraId="61E43406"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0AACAFF0"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BIG 5 EXHIBITION</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1DE630EE"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BIG 5 ВЫСТАВКА</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206F754B" w14:textId="77777777" w:rsidTr="00B54251">
        <w:tc>
          <w:tcPr>
            <w:tcW w:w="534" w:type="dxa"/>
            <w:tcBorders>
              <w:top w:val="single" w:sz="4" w:space="0" w:color="auto"/>
              <w:bottom w:val="single" w:sz="4" w:space="0" w:color="auto"/>
            </w:tcBorders>
            <w:shd w:val="clear" w:color="auto" w:fill="auto"/>
          </w:tcPr>
          <w:p w14:paraId="643527F0"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6649FD73"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NEW YEAR</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3F8D07C2"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НОВЫЙ ГОД</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6C05579A" w14:textId="77777777" w:rsidTr="00B54251">
        <w:tc>
          <w:tcPr>
            <w:tcW w:w="534" w:type="dxa"/>
            <w:tcBorders>
              <w:top w:val="single" w:sz="4" w:space="0" w:color="auto"/>
              <w:bottom w:val="single" w:sz="4" w:space="0" w:color="auto"/>
            </w:tcBorders>
            <w:shd w:val="clear" w:color="auto" w:fill="auto"/>
          </w:tcPr>
          <w:p w14:paraId="6EF39396"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1171DD6D"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ARAB HEALTH Exhibition</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584862DB"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АРАБСКАЯ ВЫСТАВКА ЗДРАВООХРАНЕНИЯ</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1840D988" w14:textId="77777777" w:rsidTr="00B54251">
        <w:tc>
          <w:tcPr>
            <w:tcW w:w="534" w:type="dxa"/>
            <w:tcBorders>
              <w:top w:val="single" w:sz="4" w:space="0" w:color="auto"/>
              <w:bottom w:val="single" w:sz="4" w:space="0" w:color="auto"/>
            </w:tcBorders>
            <w:shd w:val="clear" w:color="auto" w:fill="auto"/>
          </w:tcPr>
          <w:p w14:paraId="23FEAC4D"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7C24DB76"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INTERSEC</w:t>
            </w:r>
            <w:r w:rsidRPr="006E7B22">
              <w:rPr>
                <w:rFonts w:ascii="Calibri" w:eastAsia="Calibri" w:hAnsi="Calibri" w:cs="Times New Roman"/>
                <w:sz w:val="18"/>
                <w:szCs w:val="18"/>
              </w:rPr>
              <w:t xml:space="preserve">: - all arrivals during this period are subject to 21 days No-Show and Cancellation Penalties. Both dates are inclusive — 100% of the total cost of the </w:t>
            </w:r>
            <w:r w:rsidRPr="006E7B22">
              <w:rPr>
                <w:rFonts w:ascii="Calibri" w:eastAsia="Calibri" w:hAnsi="Calibri" w:cs="Times New Roman"/>
                <w:sz w:val="18"/>
                <w:szCs w:val="18"/>
              </w:rPr>
              <w:lastRenderedPageBreak/>
              <w:t>tourist services.</w:t>
            </w:r>
          </w:p>
        </w:tc>
        <w:tc>
          <w:tcPr>
            <w:tcW w:w="4932" w:type="dxa"/>
            <w:gridSpan w:val="2"/>
            <w:tcBorders>
              <w:top w:val="single" w:sz="4" w:space="0" w:color="auto"/>
              <w:bottom w:val="single" w:sz="4" w:space="0" w:color="auto"/>
            </w:tcBorders>
            <w:shd w:val="clear" w:color="auto" w:fill="auto"/>
          </w:tcPr>
          <w:p w14:paraId="2D0447BD"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lastRenderedPageBreak/>
              <w:t>INTERSEC</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65A25A99" w14:textId="77777777" w:rsidTr="00B54251">
        <w:tc>
          <w:tcPr>
            <w:tcW w:w="534" w:type="dxa"/>
            <w:tcBorders>
              <w:top w:val="single" w:sz="4" w:space="0" w:color="auto"/>
              <w:bottom w:val="single" w:sz="4" w:space="0" w:color="auto"/>
            </w:tcBorders>
            <w:shd w:val="clear" w:color="auto" w:fill="auto"/>
          </w:tcPr>
          <w:p w14:paraId="0AE5EEE8"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320AEC1C"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GULFOOD EXPO</w:t>
            </w:r>
            <w:r w:rsidRPr="006E7B22">
              <w:rPr>
                <w:rFonts w:ascii="Calibri" w:eastAsia="Calibri" w:hAnsi="Calibri" w:cs="Times New Roman"/>
                <w:sz w:val="18"/>
                <w:szCs w:val="18"/>
              </w:rPr>
              <w:t>: -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6810BFFE"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lang w:val="ru-RU"/>
              </w:rPr>
              <w:t>ВЫСТАВКА КУЛИНАРНЫХ ИЗДЕЛИЙ СТРАН ПЕРСИДСКОГО ЗАЛИВА</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6E7B22" w14:paraId="7A135CCA" w14:textId="77777777" w:rsidTr="00B54251">
        <w:tc>
          <w:tcPr>
            <w:tcW w:w="534" w:type="dxa"/>
            <w:tcBorders>
              <w:top w:val="single" w:sz="4" w:space="0" w:color="auto"/>
              <w:bottom w:val="single" w:sz="4" w:space="0" w:color="auto"/>
            </w:tcBorders>
            <w:shd w:val="clear" w:color="auto" w:fill="auto"/>
          </w:tcPr>
          <w:p w14:paraId="207A8BEE" w14:textId="77777777" w:rsidR="000A1336" w:rsidRPr="006E7B22" w:rsidRDefault="000A1336" w:rsidP="00B54251">
            <w:pPr>
              <w:numPr>
                <w:ilvl w:val="1"/>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1856F5F7"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b/>
                <w:sz w:val="18"/>
                <w:szCs w:val="18"/>
              </w:rPr>
              <w:t>MIDDLE EAST ELECTRICITY</w:t>
            </w:r>
            <w:r w:rsidRPr="006E7B22">
              <w:rPr>
                <w:rFonts w:ascii="Calibri" w:eastAsia="Calibri" w:hAnsi="Calibri" w:cs="Times New Roman"/>
                <w:sz w:val="18"/>
                <w:szCs w:val="18"/>
              </w:rPr>
              <w:t>:– all arrivals during this period are subject to 21 days No-Show and Cancellation Penalties. Both dates are inclusive — 100% of the total cost of the tourist services.</w:t>
            </w:r>
          </w:p>
        </w:tc>
        <w:tc>
          <w:tcPr>
            <w:tcW w:w="4932" w:type="dxa"/>
            <w:gridSpan w:val="2"/>
            <w:tcBorders>
              <w:top w:val="single" w:sz="4" w:space="0" w:color="auto"/>
              <w:bottom w:val="single" w:sz="4" w:space="0" w:color="auto"/>
            </w:tcBorders>
            <w:shd w:val="clear" w:color="auto" w:fill="auto"/>
          </w:tcPr>
          <w:p w14:paraId="5B26C9AA" w14:textId="77777777" w:rsidR="000A1336" w:rsidRPr="006E7B22" w:rsidRDefault="000A1336" w:rsidP="00B54251">
            <w:pPr>
              <w:spacing w:after="0"/>
              <w:ind w:right="34"/>
              <w:jc w:val="both"/>
              <w:rPr>
                <w:rFonts w:ascii="Calibri" w:eastAsia="Calibri" w:hAnsi="Calibri" w:cs="Times New Roman"/>
                <w:sz w:val="18"/>
                <w:szCs w:val="18"/>
                <w:lang w:val="ru-RU"/>
              </w:rPr>
            </w:pPr>
            <w:r w:rsidRPr="006E7B22">
              <w:rPr>
                <w:rFonts w:ascii="Calibri" w:eastAsia="Calibri" w:hAnsi="Calibri" w:cs="Times New Roman"/>
                <w:b/>
                <w:sz w:val="18"/>
                <w:szCs w:val="18"/>
              </w:rPr>
              <w:t>MIDDLE</w:t>
            </w:r>
            <w:r w:rsidRPr="006E7B22">
              <w:rPr>
                <w:rFonts w:ascii="Calibri" w:eastAsia="Calibri" w:hAnsi="Calibri" w:cs="Times New Roman"/>
                <w:b/>
                <w:sz w:val="18"/>
                <w:szCs w:val="18"/>
                <w:lang w:val="ru-RU"/>
              </w:rPr>
              <w:t xml:space="preserve"> </w:t>
            </w:r>
            <w:r w:rsidRPr="006E7B22">
              <w:rPr>
                <w:rFonts w:ascii="Calibri" w:eastAsia="Calibri" w:hAnsi="Calibri" w:cs="Times New Roman"/>
                <w:b/>
                <w:sz w:val="18"/>
                <w:szCs w:val="18"/>
              </w:rPr>
              <w:t>EAST</w:t>
            </w:r>
            <w:r w:rsidRPr="006E7B22">
              <w:rPr>
                <w:rFonts w:ascii="Calibri" w:eastAsia="Calibri" w:hAnsi="Calibri" w:cs="Times New Roman"/>
                <w:b/>
                <w:sz w:val="18"/>
                <w:szCs w:val="18"/>
                <w:lang w:val="ru-RU"/>
              </w:rPr>
              <w:t xml:space="preserve"> </w:t>
            </w:r>
            <w:r w:rsidRPr="006E7B22">
              <w:rPr>
                <w:rFonts w:ascii="Calibri" w:eastAsia="Calibri" w:hAnsi="Calibri" w:cs="Times New Roman"/>
                <w:b/>
                <w:sz w:val="18"/>
                <w:szCs w:val="18"/>
              </w:rPr>
              <w:t>ELECTRICITY</w:t>
            </w:r>
            <w:r w:rsidRPr="006E7B22">
              <w:rPr>
                <w:rFonts w:ascii="Calibri" w:eastAsia="Calibri" w:hAnsi="Calibri" w:cs="Times New Roman"/>
                <w:sz w:val="18"/>
                <w:szCs w:val="18"/>
                <w:lang w:val="ru-RU"/>
              </w:rPr>
              <w:t>: - все поездки в указанный период подлежат 21 дневным штрафам за неявку и отмену поездки. Обе даты включают 100% расходы туристических услуг</w:t>
            </w:r>
          </w:p>
        </w:tc>
      </w:tr>
      <w:tr w:rsidR="000A1336" w:rsidRPr="00732411" w14:paraId="1A21230E" w14:textId="77777777" w:rsidTr="00B54251">
        <w:tc>
          <w:tcPr>
            <w:tcW w:w="534" w:type="dxa"/>
            <w:tcBorders>
              <w:top w:val="single" w:sz="4" w:space="0" w:color="auto"/>
              <w:bottom w:val="single" w:sz="4" w:space="0" w:color="auto"/>
            </w:tcBorders>
            <w:shd w:val="clear" w:color="auto" w:fill="auto"/>
          </w:tcPr>
          <w:p w14:paraId="53DBB003"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2DFC3C08"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Any amendment in Customer details (name, surname, other information) rendered 10 days or less prior to departure will cost USD 30 (thirty).</w:t>
            </w:r>
          </w:p>
        </w:tc>
        <w:tc>
          <w:tcPr>
            <w:tcW w:w="4932" w:type="dxa"/>
            <w:gridSpan w:val="2"/>
            <w:tcBorders>
              <w:top w:val="single" w:sz="4" w:space="0" w:color="auto"/>
              <w:bottom w:val="single" w:sz="4" w:space="0" w:color="auto"/>
            </w:tcBorders>
            <w:shd w:val="clear" w:color="auto" w:fill="auto"/>
          </w:tcPr>
          <w:p w14:paraId="4097C9AF"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 xml:space="preserve">Любая поправка в деталях клиента (имя, фамилия, другая информация) 10 дней или менее до вылета будет стоить 30 (тридцать) долларов США . </w:t>
            </w:r>
          </w:p>
        </w:tc>
      </w:tr>
      <w:tr w:rsidR="000A1336" w:rsidRPr="00732411" w14:paraId="25A359A3" w14:textId="77777777" w:rsidTr="00B54251">
        <w:tc>
          <w:tcPr>
            <w:tcW w:w="534" w:type="dxa"/>
            <w:tcBorders>
              <w:top w:val="single" w:sz="4" w:space="0" w:color="auto"/>
              <w:bottom w:val="single" w:sz="4" w:space="0" w:color="auto"/>
            </w:tcBorders>
            <w:shd w:val="clear" w:color="auto" w:fill="auto"/>
          </w:tcPr>
          <w:p w14:paraId="044A99D2"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3CFBB693"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 xml:space="preserve">In case if any persons who is using Tourist Services provided by </w:t>
            </w:r>
            <w:r>
              <w:rPr>
                <w:rFonts w:ascii="Calibri" w:eastAsia="Calibri" w:hAnsi="Calibri" w:cs="Times New Roman"/>
                <w:sz w:val="20"/>
                <w:szCs w:val="20"/>
              </w:rPr>
              <w:t>KREUTZER TOURISTIK GB LIMITED</w:t>
            </w:r>
            <w:r w:rsidRPr="006E7B22">
              <w:rPr>
                <w:rFonts w:ascii="Calibri" w:eastAsia="Calibri" w:hAnsi="Calibri" w:cs="Times New Roman"/>
                <w:sz w:val="18"/>
                <w:szCs w:val="18"/>
              </w:rPr>
              <w:t xml:space="preserve"> will not leave UAE as it is indicate Tourist Services dates, Stay in UAE or brake VISA rules of UAE, SA is liable to pay Penalty in amount of 3000 (three thousand) USD per person per case.</w:t>
            </w:r>
          </w:p>
        </w:tc>
        <w:tc>
          <w:tcPr>
            <w:tcW w:w="4932" w:type="dxa"/>
            <w:gridSpan w:val="2"/>
            <w:tcBorders>
              <w:top w:val="single" w:sz="4" w:space="0" w:color="auto"/>
              <w:bottom w:val="single" w:sz="4" w:space="0" w:color="auto"/>
            </w:tcBorders>
            <w:shd w:val="clear" w:color="auto" w:fill="auto"/>
          </w:tcPr>
          <w:p w14:paraId="1F980277"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Если лица, пользующиеся туристическими услугами «</w:t>
            </w:r>
            <w:r>
              <w:rPr>
                <w:rFonts w:ascii="Calibri" w:eastAsia="Calibri" w:hAnsi="Calibri" w:cs="Times New Roman"/>
                <w:sz w:val="20"/>
                <w:szCs w:val="20"/>
              </w:rPr>
              <w:t>KREUTZER</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TOURISTIK</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GB</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LIMITED</w:t>
            </w:r>
            <w:r w:rsidRPr="006E7B22">
              <w:rPr>
                <w:rFonts w:ascii="Calibri" w:eastAsia="Calibri" w:hAnsi="Calibri" w:cs="Times New Roman"/>
                <w:sz w:val="18"/>
                <w:szCs w:val="18"/>
                <w:lang w:val="ru-RU"/>
              </w:rPr>
              <w:t>»  не покинут Объединенные Арабские Эмираты в дни, указанные в туристических услугах, пребывание в Объединенных Арабских Эмиратах или нарушение правил использования визы, Агент по Продажам облагается штрафом в размере 3000 (три тысяча) долларов США на человека.</w:t>
            </w:r>
          </w:p>
        </w:tc>
      </w:tr>
      <w:tr w:rsidR="000A1336" w:rsidRPr="00732411" w14:paraId="1FD60662" w14:textId="77777777" w:rsidTr="00B54251">
        <w:tc>
          <w:tcPr>
            <w:tcW w:w="534" w:type="dxa"/>
            <w:tcBorders>
              <w:top w:val="single" w:sz="4" w:space="0" w:color="auto"/>
              <w:bottom w:val="single" w:sz="4" w:space="0" w:color="auto"/>
            </w:tcBorders>
            <w:shd w:val="clear" w:color="auto" w:fill="auto"/>
          </w:tcPr>
          <w:p w14:paraId="06B283DB"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09792089"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 xml:space="preserve">Tourist Services provided by </w:t>
            </w:r>
            <w:r>
              <w:rPr>
                <w:rFonts w:ascii="Calibri" w:eastAsia="Calibri" w:hAnsi="Calibri" w:cs="Times New Roman"/>
                <w:sz w:val="20"/>
                <w:szCs w:val="20"/>
              </w:rPr>
              <w:t>KREUTZER TOURISTIK GB LIMITED</w:t>
            </w:r>
            <w:r w:rsidRPr="006E7B22">
              <w:rPr>
                <w:rFonts w:ascii="Calibri" w:eastAsia="Calibri" w:hAnsi="Calibri" w:cs="Times New Roman"/>
                <w:sz w:val="18"/>
                <w:szCs w:val="18"/>
              </w:rPr>
              <w:t xml:space="preserve"> for UAE includes Visa Support. Visa Support fees is 80 USD per visa application. Visa Support fees in nonrefundable fee and it will be dedicated from any kind of cancelation, now show or non-payment</w:t>
            </w:r>
          </w:p>
        </w:tc>
        <w:tc>
          <w:tcPr>
            <w:tcW w:w="4932" w:type="dxa"/>
            <w:gridSpan w:val="2"/>
            <w:tcBorders>
              <w:top w:val="single" w:sz="4" w:space="0" w:color="auto"/>
              <w:bottom w:val="single" w:sz="4" w:space="0" w:color="auto"/>
            </w:tcBorders>
            <w:shd w:val="clear" w:color="auto" w:fill="auto"/>
          </w:tcPr>
          <w:p w14:paraId="06E1CF30"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 xml:space="preserve">Туристические услуги, оказываемые </w:t>
            </w:r>
            <w:r>
              <w:rPr>
                <w:rFonts w:ascii="Calibri" w:eastAsia="Calibri" w:hAnsi="Calibri" w:cs="Times New Roman"/>
                <w:sz w:val="20"/>
                <w:szCs w:val="20"/>
              </w:rPr>
              <w:t>KREUTZER</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TOURISTIK</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GB</w:t>
            </w:r>
            <w:r w:rsidRPr="000D080A">
              <w:rPr>
                <w:rFonts w:ascii="Calibri" w:eastAsia="Calibri" w:hAnsi="Calibri" w:cs="Times New Roman"/>
                <w:sz w:val="20"/>
                <w:szCs w:val="20"/>
                <w:lang w:val="ru-RU"/>
              </w:rPr>
              <w:t xml:space="preserve"> </w:t>
            </w:r>
            <w:r>
              <w:rPr>
                <w:rFonts w:ascii="Calibri" w:eastAsia="Calibri" w:hAnsi="Calibri" w:cs="Times New Roman"/>
                <w:sz w:val="20"/>
                <w:szCs w:val="20"/>
              </w:rPr>
              <w:t>LIMITED</w:t>
            </w:r>
            <w:r w:rsidRPr="006E7B22">
              <w:rPr>
                <w:rFonts w:ascii="Calibri" w:eastAsia="Calibri" w:hAnsi="Calibri" w:cs="Times New Roman"/>
                <w:sz w:val="18"/>
                <w:szCs w:val="18"/>
                <w:lang w:val="ru-RU"/>
              </w:rPr>
              <w:t xml:space="preserve"> в Объединенных Арабских Эмиратах включают так же  обеспечение визы, стоимость которого составляет 80 долларов США за одну визу и она не подлежит возврату и списывается в случае аннулирования поездки,  неявки и невыплаты.</w:t>
            </w:r>
          </w:p>
        </w:tc>
      </w:tr>
      <w:tr w:rsidR="000A1336" w:rsidRPr="00732411" w14:paraId="14FAFE45" w14:textId="77777777" w:rsidTr="00B54251">
        <w:tc>
          <w:tcPr>
            <w:tcW w:w="534" w:type="dxa"/>
            <w:tcBorders>
              <w:top w:val="single" w:sz="4" w:space="0" w:color="auto"/>
              <w:bottom w:val="single" w:sz="4" w:space="0" w:color="auto"/>
            </w:tcBorders>
            <w:shd w:val="clear" w:color="auto" w:fill="auto"/>
          </w:tcPr>
          <w:p w14:paraId="70BF9BF0"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bottom w:val="single" w:sz="4" w:space="0" w:color="auto"/>
            </w:tcBorders>
            <w:shd w:val="clear" w:color="auto" w:fill="auto"/>
          </w:tcPr>
          <w:p w14:paraId="01CE4B30"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All other terms and conditions of main agreement and its Appendix remain unchanged.</w:t>
            </w:r>
          </w:p>
        </w:tc>
        <w:tc>
          <w:tcPr>
            <w:tcW w:w="4932" w:type="dxa"/>
            <w:gridSpan w:val="2"/>
            <w:tcBorders>
              <w:top w:val="single" w:sz="4" w:space="0" w:color="auto"/>
              <w:bottom w:val="single" w:sz="4" w:space="0" w:color="auto"/>
            </w:tcBorders>
            <w:shd w:val="clear" w:color="auto" w:fill="auto"/>
          </w:tcPr>
          <w:p w14:paraId="622733CC"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Все другие условия главного соглашения и его приложения останутся без изменений.</w:t>
            </w:r>
          </w:p>
        </w:tc>
      </w:tr>
      <w:tr w:rsidR="000A1336" w:rsidRPr="00626DC8" w14:paraId="363A82EC" w14:textId="77777777" w:rsidTr="00B54251">
        <w:tc>
          <w:tcPr>
            <w:tcW w:w="534" w:type="dxa"/>
            <w:tcBorders>
              <w:top w:val="single" w:sz="4" w:space="0" w:color="auto"/>
            </w:tcBorders>
            <w:shd w:val="clear" w:color="auto" w:fill="auto"/>
          </w:tcPr>
          <w:p w14:paraId="7BF9496C" w14:textId="77777777" w:rsidR="000A1336" w:rsidRPr="006E7B22" w:rsidRDefault="000A1336" w:rsidP="00B54251">
            <w:pPr>
              <w:numPr>
                <w:ilvl w:val="0"/>
                <w:numId w:val="1"/>
              </w:numPr>
              <w:spacing w:after="0"/>
              <w:jc w:val="both"/>
              <w:rPr>
                <w:rFonts w:ascii="Calibri" w:eastAsia="Calibri" w:hAnsi="Calibri" w:cs="Times New Roman"/>
                <w:sz w:val="18"/>
                <w:szCs w:val="18"/>
                <w:lang w:val="ru-RU"/>
              </w:rPr>
            </w:pPr>
          </w:p>
        </w:tc>
        <w:tc>
          <w:tcPr>
            <w:tcW w:w="4110" w:type="dxa"/>
            <w:tcBorders>
              <w:top w:val="single" w:sz="4" w:space="0" w:color="auto"/>
            </w:tcBorders>
            <w:shd w:val="clear" w:color="auto" w:fill="auto"/>
          </w:tcPr>
          <w:p w14:paraId="2582A275" w14:textId="77777777" w:rsidR="000A1336" w:rsidRPr="006E7B22" w:rsidRDefault="000A1336" w:rsidP="00B54251">
            <w:pPr>
              <w:spacing w:after="0"/>
              <w:ind w:right="34"/>
              <w:jc w:val="both"/>
              <w:rPr>
                <w:rFonts w:ascii="Calibri" w:eastAsia="Calibri" w:hAnsi="Calibri" w:cs="Times New Roman"/>
                <w:sz w:val="18"/>
                <w:szCs w:val="18"/>
              </w:rPr>
            </w:pPr>
            <w:r w:rsidRPr="006E7B22">
              <w:rPr>
                <w:rFonts w:ascii="Calibri" w:eastAsia="Calibri" w:hAnsi="Calibri" w:cs="Times New Roman"/>
                <w:sz w:val="18"/>
                <w:szCs w:val="18"/>
              </w:rPr>
              <w:t xml:space="preserve">This Appendix shall be an undividable part of Contract No. </w:t>
            </w:r>
            <w:r w:rsidRPr="006E7B22">
              <w:rPr>
                <w:rFonts w:ascii="Calibri" w:eastAsia="Calibri" w:hAnsi="Calibri" w:cs="Times New Roman"/>
                <w:b/>
                <w:sz w:val="18"/>
                <w:szCs w:val="18"/>
              </w:rPr>
              <w:t xml:space="preserve">_______________ </w:t>
            </w:r>
            <w:r w:rsidRPr="006E7B22">
              <w:rPr>
                <w:rFonts w:ascii="Calibri" w:eastAsia="Calibri" w:hAnsi="Calibri" w:cs="Times New Roman"/>
                <w:sz w:val="18"/>
                <w:szCs w:val="18"/>
              </w:rPr>
              <w:t xml:space="preserve">dated </w:t>
            </w:r>
            <w:r w:rsidRPr="006E7B22">
              <w:rPr>
                <w:rFonts w:ascii="Calibri" w:eastAsia="Calibri" w:hAnsi="Calibri" w:cs="Times New Roman"/>
              </w:rPr>
              <w:t>______</w:t>
            </w:r>
            <w:r w:rsidRPr="006E7B22">
              <w:rPr>
                <w:rFonts w:ascii="Calibri" w:eastAsia="Calibri" w:hAnsi="Calibri" w:cs="Times New Roman"/>
                <w:sz w:val="18"/>
                <w:szCs w:val="18"/>
              </w:rPr>
              <w:t>.201</w:t>
            </w:r>
            <w:r>
              <w:rPr>
                <w:rFonts w:ascii="Calibri" w:eastAsia="Calibri" w:hAnsi="Calibri" w:cs="Times New Roman"/>
                <w:sz w:val="18"/>
                <w:szCs w:val="18"/>
              </w:rPr>
              <w:t>_</w:t>
            </w:r>
            <w:r w:rsidRPr="006E7B22">
              <w:rPr>
                <w:rFonts w:ascii="Calibri" w:eastAsia="Calibri" w:hAnsi="Calibri" w:cs="Times New Roman"/>
                <w:sz w:val="18"/>
                <w:szCs w:val="18"/>
              </w:rPr>
              <w:t xml:space="preserve">  entered by and between the parties. This Appendix shall become effective upon its signing by the Parties.</w:t>
            </w:r>
          </w:p>
        </w:tc>
        <w:tc>
          <w:tcPr>
            <w:tcW w:w="4932" w:type="dxa"/>
            <w:gridSpan w:val="2"/>
            <w:tcBorders>
              <w:top w:val="single" w:sz="4" w:space="0" w:color="auto"/>
            </w:tcBorders>
            <w:shd w:val="clear" w:color="auto" w:fill="auto"/>
          </w:tcPr>
          <w:p w14:paraId="1F9F1D7A" w14:textId="77777777" w:rsidR="000A1336" w:rsidRPr="006E7B22" w:rsidRDefault="000A1336" w:rsidP="00B54251">
            <w:pPr>
              <w:ind w:right="34"/>
              <w:jc w:val="both"/>
              <w:rPr>
                <w:rFonts w:ascii="Calibri" w:eastAsia="Calibri" w:hAnsi="Calibri" w:cs="Times New Roman"/>
                <w:sz w:val="18"/>
                <w:szCs w:val="18"/>
                <w:lang w:val="ru-RU"/>
              </w:rPr>
            </w:pPr>
            <w:r w:rsidRPr="006E7B22">
              <w:rPr>
                <w:rFonts w:ascii="Calibri" w:eastAsia="Calibri" w:hAnsi="Calibri" w:cs="Times New Roman"/>
                <w:sz w:val="18"/>
                <w:szCs w:val="18"/>
                <w:lang w:val="ru-RU"/>
              </w:rPr>
              <w:t xml:space="preserve">Настоящее приложение составляет неотъемлемую часть договора № </w:t>
            </w:r>
            <w:r w:rsidRPr="006E7B22">
              <w:rPr>
                <w:rFonts w:ascii="Calibri" w:eastAsia="Calibri" w:hAnsi="Calibri" w:cs="Times New Roman"/>
                <w:b/>
                <w:sz w:val="18"/>
                <w:szCs w:val="18"/>
                <w:lang w:val="ru-RU"/>
              </w:rPr>
              <w:t xml:space="preserve">_______________ </w:t>
            </w:r>
            <w:r w:rsidRPr="006E7B22">
              <w:rPr>
                <w:rFonts w:ascii="Calibri" w:eastAsia="Calibri" w:hAnsi="Calibri" w:cs="Times New Roman"/>
                <w:sz w:val="18"/>
                <w:szCs w:val="18"/>
                <w:lang w:val="ru-RU"/>
              </w:rPr>
              <w:t xml:space="preserve">от </w:t>
            </w:r>
            <w:r w:rsidRPr="006E7B22">
              <w:rPr>
                <w:rFonts w:ascii="Calibri" w:eastAsia="Calibri" w:hAnsi="Calibri" w:cs="Times New Roman"/>
                <w:lang w:val="ru-RU"/>
              </w:rPr>
              <w:t>________</w:t>
            </w:r>
            <w:r w:rsidRPr="006E7B22">
              <w:rPr>
                <w:rFonts w:ascii="Calibri" w:eastAsia="Calibri" w:hAnsi="Calibri" w:cs="Times New Roman"/>
                <w:sz w:val="18"/>
                <w:szCs w:val="18"/>
                <w:lang w:val="ru-RU"/>
              </w:rPr>
              <w:t>201</w:t>
            </w:r>
            <w:r w:rsidRPr="00626DC8">
              <w:rPr>
                <w:rFonts w:ascii="Calibri" w:eastAsia="Calibri" w:hAnsi="Calibri" w:cs="Times New Roman"/>
                <w:sz w:val="18"/>
                <w:szCs w:val="18"/>
                <w:lang w:val="ru-RU"/>
              </w:rPr>
              <w:t>_</w:t>
            </w:r>
            <w:r w:rsidRPr="006E7B22">
              <w:rPr>
                <w:rFonts w:ascii="Calibri" w:eastAsia="Calibri" w:hAnsi="Calibri" w:cs="Times New Roman"/>
                <w:sz w:val="18"/>
                <w:szCs w:val="18"/>
                <w:lang w:val="ru-RU"/>
              </w:rPr>
              <w:t xml:space="preserve">г., заключенного сторонами. Настоящее приложение вступает в силу по его подписании сторонами.  </w:t>
            </w:r>
          </w:p>
        </w:tc>
      </w:tr>
    </w:tbl>
    <w:p w14:paraId="7DBD7B03" w14:textId="77777777" w:rsidR="000A1336" w:rsidRPr="006E7B22" w:rsidRDefault="000A1336" w:rsidP="000A1336">
      <w:pPr>
        <w:rPr>
          <w:rFonts w:ascii="Calibri" w:eastAsia="Calibri" w:hAnsi="Calibri" w:cs="Times New Roman"/>
          <w:sz w:val="18"/>
          <w:szCs w:val="18"/>
          <w:lang w:val="ru-RU"/>
        </w:rPr>
      </w:pPr>
    </w:p>
    <w:p w14:paraId="692515C7" w14:textId="77777777" w:rsidR="000A1336" w:rsidRPr="006E7B22" w:rsidRDefault="000A1336" w:rsidP="000A1336">
      <w:pPr>
        <w:rPr>
          <w:rFonts w:ascii="Calibri" w:eastAsia="Calibri" w:hAnsi="Calibri" w:cs="Times New Roman"/>
          <w:lang w:val="ru-RU"/>
        </w:rPr>
      </w:pPr>
    </w:p>
    <w:p w14:paraId="4EC15E84" w14:textId="77777777" w:rsidR="000A1336" w:rsidRPr="006E7B22" w:rsidRDefault="000A1336" w:rsidP="000A1336">
      <w:pPr>
        <w:rPr>
          <w:rFonts w:ascii="Calibri" w:eastAsia="Calibri" w:hAnsi="Calibri" w:cs="Times New Roman"/>
          <w:lang w:val="ru-RU"/>
        </w:rPr>
      </w:pPr>
    </w:p>
    <w:p w14:paraId="6B53C504" w14:textId="77777777" w:rsidR="000A1336" w:rsidRPr="00626DC8" w:rsidRDefault="000A1336" w:rsidP="000A1336">
      <w:pPr>
        <w:rPr>
          <w:lang w:val="ru-RU"/>
        </w:rPr>
      </w:pPr>
    </w:p>
    <w:p w14:paraId="2238AB4A" w14:textId="77777777" w:rsidR="00E61625" w:rsidRDefault="00E61625"/>
    <w:sectPr w:rsidR="00E61625" w:rsidSect="00A16A35">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1440" w:left="1440"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98333" w14:textId="77777777" w:rsidR="00464B54" w:rsidRDefault="00464B54">
      <w:pPr>
        <w:spacing w:after="0" w:line="240" w:lineRule="auto"/>
      </w:pPr>
      <w:r>
        <w:separator/>
      </w:r>
    </w:p>
  </w:endnote>
  <w:endnote w:type="continuationSeparator" w:id="0">
    <w:p w14:paraId="3C1CDA9C" w14:textId="77777777" w:rsidR="00464B54" w:rsidRDefault="0046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3A49B" w14:textId="77777777" w:rsidR="00A16A35" w:rsidRDefault="00464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7ACF" w14:textId="77777777" w:rsidR="008E69E8" w:rsidRPr="001F3C9C" w:rsidRDefault="000A1336">
    <w:pPr>
      <w:pStyle w:val="Footer"/>
      <w:rPr>
        <w:u w:val="single"/>
        <w:lang w:val="ru-RU"/>
      </w:rPr>
    </w:pPr>
    <w:r w:rsidRPr="001F3C9C">
      <w:rPr>
        <w:u w:val="single"/>
        <w:lang w:val="ru-RU"/>
      </w:rPr>
      <w:t>____________________</w:t>
    </w:r>
    <w:r w:rsidRPr="001F3C9C">
      <w:rPr>
        <w:lang w:val="ru-RU"/>
      </w:rPr>
      <w:tab/>
    </w:r>
    <w:r w:rsidRPr="001F3C9C">
      <w:rPr>
        <w:lang w:val="ru-RU"/>
      </w:rPr>
      <w:tab/>
    </w:r>
    <w:r w:rsidRPr="001F3C9C">
      <w:rPr>
        <w:u w:val="single"/>
        <w:lang w:val="ru-RU"/>
      </w:rPr>
      <w:t>____________________</w:t>
    </w:r>
  </w:p>
  <w:p w14:paraId="1E893CBB" w14:textId="77777777" w:rsidR="008E69E8" w:rsidRPr="009F3600" w:rsidRDefault="000A1336">
    <w:pPr>
      <w:pStyle w:val="Footer"/>
      <w:rPr>
        <w:lang w:val="ru-RU"/>
      </w:rPr>
    </w:pPr>
    <w:r w:rsidRPr="009F3600">
      <w:t>GSA</w:t>
    </w:r>
    <w:r w:rsidRPr="009F3600">
      <w:rPr>
        <w:lang w:val="ru-RU"/>
      </w:rPr>
      <w:t>/Генеральный Агент по Продажам</w:t>
    </w:r>
    <w:r w:rsidRPr="009F3600">
      <w:rPr>
        <w:lang w:val="ru-RU"/>
      </w:rPr>
      <w:tab/>
    </w:r>
    <w:r w:rsidRPr="009F3600">
      <w:rPr>
        <w:lang w:val="ru-RU"/>
      </w:rPr>
      <w:tab/>
    </w:r>
    <w:r w:rsidRPr="009F3600">
      <w:t>SA</w:t>
    </w:r>
    <w:r w:rsidRPr="009F3600">
      <w:rPr>
        <w:lang w:val="ru-RU"/>
      </w:rPr>
      <w:t>/Агент по Продажам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9B6C" w14:textId="77777777" w:rsidR="00A16A35" w:rsidRDefault="0046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40CA" w14:textId="77777777" w:rsidR="00464B54" w:rsidRDefault="00464B54">
      <w:pPr>
        <w:spacing w:after="0" w:line="240" w:lineRule="auto"/>
      </w:pPr>
      <w:r>
        <w:separator/>
      </w:r>
    </w:p>
  </w:footnote>
  <w:footnote w:type="continuationSeparator" w:id="0">
    <w:p w14:paraId="4019D901" w14:textId="77777777" w:rsidR="00464B54" w:rsidRDefault="0046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2D35" w14:textId="77777777" w:rsidR="00A16A35" w:rsidRDefault="00464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02F0" w14:textId="77777777" w:rsidR="00A16A35" w:rsidRDefault="00464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F6AC" w14:textId="77777777" w:rsidR="00A16A35" w:rsidRDefault="00464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qY8FMPX5wdQSRvLBISrVBgGmT0=" w:salt="esB2P1eKzMVr68b8gnk4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BE"/>
    <w:rsid w:val="000A1336"/>
    <w:rsid w:val="000F48BE"/>
    <w:rsid w:val="00375D8A"/>
    <w:rsid w:val="00464B54"/>
    <w:rsid w:val="0048086F"/>
    <w:rsid w:val="004F1FC1"/>
    <w:rsid w:val="005E1005"/>
    <w:rsid w:val="00726C25"/>
    <w:rsid w:val="00732411"/>
    <w:rsid w:val="00B44948"/>
    <w:rsid w:val="00B56752"/>
    <w:rsid w:val="00B94516"/>
    <w:rsid w:val="00CC791B"/>
    <w:rsid w:val="00E61625"/>
    <w:rsid w:val="00FD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13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0A1336"/>
  </w:style>
  <w:style w:type="paragraph" w:styleId="Header">
    <w:name w:val="header"/>
    <w:basedOn w:val="Normal"/>
    <w:link w:val="HeaderChar"/>
    <w:uiPriority w:val="99"/>
    <w:unhideWhenUsed/>
    <w:rsid w:val="000A13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0A1336"/>
  </w:style>
  <w:style w:type="paragraph" w:styleId="BalloonText">
    <w:name w:val="Balloon Text"/>
    <w:basedOn w:val="Normal"/>
    <w:link w:val="BalloonTextChar"/>
    <w:uiPriority w:val="99"/>
    <w:semiHidden/>
    <w:unhideWhenUsed/>
    <w:rsid w:val="000A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13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0A1336"/>
  </w:style>
  <w:style w:type="paragraph" w:styleId="Header">
    <w:name w:val="header"/>
    <w:basedOn w:val="Normal"/>
    <w:link w:val="HeaderChar"/>
    <w:uiPriority w:val="99"/>
    <w:unhideWhenUsed/>
    <w:rsid w:val="000A13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0A1336"/>
  </w:style>
  <w:style w:type="paragraph" w:styleId="BalloonText">
    <w:name w:val="Balloon Text"/>
    <w:basedOn w:val="Normal"/>
    <w:link w:val="BalloonTextChar"/>
    <w:uiPriority w:val="99"/>
    <w:semiHidden/>
    <w:unhideWhenUsed/>
    <w:rsid w:val="000A1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egast.ge" TargetMode="External"/><Relationship Id="rId4" Type="http://schemas.microsoft.com/office/2007/relationships/stylesWithEffects" Target="stylesWithEffects.xml"/><Relationship Id="rId9" Type="http://schemas.openxmlformats.org/officeDocument/2006/relationships/hyperlink" Target="http://www.pegast.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DB2C-12A8-4645-B31C-4189F4A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1086</Words>
  <Characters>6192</Characters>
  <Application>Microsoft Office Word</Application>
  <DocSecurity>8</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Tchaia</dc:creator>
  <cp:keywords/>
  <dc:description/>
  <cp:lastModifiedBy>Salome Nazghaidze</cp:lastModifiedBy>
  <cp:revision>8</cp:revision>
  <dcterms:created xsi:type="dcterms:W3CDTF">2019-03-29T03:42:00Z</dcterms:created>
  <dcterms:modified xsi:type="dcterms:W3CDTF">2019-04-02T12:05:00Z</dcterms:modified>
</cp:coreProperties>
</file>